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Karlsborg kommunfullmäktige</w:t>
      </w:r>
    </w:p>
    <w:p>
      <w:pPr>
        <w:pStyle w:val="Heading1"/>
      </w:pPr>
      <w:r>
        <w:t xml:space="preserve">Skolinsatser för högre meritvärden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Karlsborg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Karlsborgs grundskolor har ett genomsnittligt meritvärde på 225 poäng 2024, lägre än länsgenomsnittet (Kolada). Särskilt stöd saknas i tillräcklig omfattning för elever i behov.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Karlsborg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barn- och utbildningsnämnden får i uppdrag att införa två extra speciallärartjänster från höstterminen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ett läs- och skrivutvecklingsprogram införs i årskurs 1–3.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kontinuerlig uppföljning av meritvärden redovisas två gånger per år till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högskolan i Skövde utreds för lärarfortbildning.</w:t>
      </w:r>
    </w:p>
    <w:p>
      <w:pPr>
        <w:spacing w:before="360"/>
      </w:pPr>
    </w:p>
    <w:p>
      <w:r>
        <w:t xml:space="preserve">Karlsborg,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Karlsborg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2026-07-14T00:23:06.597Z</dcterms:created>
  <dcterms:modified xsi:type="dcterms:W3CDTF">2026-07-14T00:23:06.597Z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